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FE58" w14:textId="77777777" w:rsidR="0055128B" w:rsidRDefault="00723690" w:rsidP="00F933E8">
      <w:pPr>
        <w:pStyle w:val="Heading1"/>
        <w:jc w:val="center"/>
        <w:rPr>
          <w:rFonts w:eastAsia="Times New Roman"/>
        </w:rPr>
      </w:pPr>
      <w:bookmarkStart w:id="0" w:name="_Hlk13906990"/>
      <w:bookmarkStart w:id="1" w:name="_GoBack"/>
      <w:bookmarkEnd w:id="1"/>
      <w:r>
        <w:rPr>
          <w:rFonts w:eastAsia="Times New Roman"/>
        </w:rPr>
        <w:t>PowerSentry</w:t>
      </w:r>
      <w:r w:rsidR="00047831">
        <w:rPr>
          <w:rFonts w:eastAsia="Times New Roman"/>
        </w:rPr>
        <w:t xml:space="preserve"> </w:t>
      </w:r>
      <w:r w:rsidR="006C4DF3" w:rsidRPr="00B303A6">
        <w:rPr>
          <w:rFonts w:eastAsia="Times New Roman"/>
        </w:rPr>
        <w:t>Customer Service Offerings</w:t>
      </w:r>
    </w:p>
    <w:p w14:paraId="2F876BFB" w14:textId="77777777" w:rsidR="00047831" w:rsidRPr="00047831" w:rsidRDefault="00047831" w:rsidP="00047831"/>
    <w:p w14:paraId="7946593E" w14:textId="60A02E2F" w:rsidR="00604227" w:rsidRDefault="00723690" w:rsidP="003F7D27">
      <w:pPr>
        <w:pStyle w:val="Heading2"/>
        <w:rPr>
          <w:rFonts w:eastAsia="Times New Roman"/>
        </w:rPr>
      </w:pPr>
      <w:r>
        <w:rPr>
          <w:rFonts w:eastAsia="Times New Roman"/>
        </w:rPr>
        <w:t>PowerSentry</w:t>
      </w:r>
      <w:r w:rsidR="00604227">
        <w:rPr>
          <w:rFonts w:eastAsia="Times New Roman"/>
        </w:rPr>
        <w:t xml:space="preserve"> Background</w:t>
      </w:r>
    </w:p>
    <w:p w14:paraId="7C189DE8" w14:textId="77777777" w:rsidR="00583366" w:rsidRPr="00583366" w:rsidRDefault="00583366" w:rsidP="00583366"/>
    <w:p w14:paraId="1ADA904B" w14:textId="77777777" w:rsidR="00604227" w:rsidRPr="0062100F" w:rsidRDefault="00723690" w:rsidP="00317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2100F">
        <w:rPr>
          <w:rFonts w:cstheme="minorHAnsi"/>
          <w:color w:val="000000" w:themeColor="text1"/>
        </w:rPr>
        <w:t>PowerSentry</w:t>
      </w:r>
      <w:r w:rsidR="00604227" w:rsidRPr="0062100F">
        <w:rPr>
          <w:rFonts w:cstheme="minorHAnsi"/>
          <w:color w:val="000000" w:themeColor="text1"/>
        </w:rPr>
        <w:t xml:space="preserve"> is a watch dog service that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>remotely monitors your power supply and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 xml:space="preserve">quickly identifies anomalies that can </w:t>
      </w:r>
      <w:r w:rsidR="003178CD" w:rsidRPr="0062100F">
        <w:rPr>
          <w:rFonts w:cstheme="minorHAnsi"/>
          <w:color w:val="000000" w:themeColor="text1"/>
        </w:rPr>
        <w:t>i</w:t>
      </w:r>
      <w:r w:rsidR="00604227" w:rsidRPr="0062100F">
        <w:rPr>
          <w:rFonts w:cstheme="minorHAnsi"/>
          <w:color w:val="000000" w:themeColor="text1"/>
        </w:rPr>
        <w:t>mpact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>your operation and your bottom line.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>By flagging potential issues before an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>interruption occurs or major costs are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>incurred, it can protect valuable assets</w:t>
      </w:r>
      <w:r w:rsidR="00B9515B" w:rsidRPr="0062100F">
        <w:rPr>
          <w:rFonts w:cstheme="minorHAnsi"/>
          <w:color w:val="000000" w:themeColor="text1"/>
        </w:rPr>
        <w:t>,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B9515B" w:rsidRPr="0062100F">
        <w:rPr>
          <w:rFonts w:cstheme="minorHAnsi"/>
          <w:color w:val="000000" w:themeColor="text1"/>
        </w:rPr>
        <w:t>improve safety and reliability</w:t>
      </w:r>
      <w:r w:rsidR="00604227" w:rsidRPr="0062100F">
        <w:rPr>
          <w:rFonts w:cstheme="minorHAnsi"/>
          <w:color w:val="000000" w:themeColor="text1"/>
        </w:rPr>
        <w:t>—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 xml:space="preserve">and deliver peace of mind. </w:t>
      </w:r>
      <w:r w:rsidRPr="0062100F">
        <w:rPr>
          <w:rFonts w:cstheme="minorHAnsi"/>
          <w:color w:val="000000" w:themeColor="text1"/>
        </w:rPr>
        <w:t>PowerSentry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>eliminates the need to maintain specialized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>software applications internally, allowing</w:t>
      </w:r>
      <w:r w:rsidR="003178CD" w:rsidRPr="0062100F">
        <w:rPr>
          <w:rFonts w:cstheme="minorHAnsi"/>
          <w:color w:val="000000" w:themeColor="text1"/>
        </w:rPr>
        <w:t xml:space="preserve"> </w:t>
      </w:r>
      <w:r w:rsidR="00604227" w:rsidRPr="0062100F">
        <w:rPr>
          <w:rFonts w:cstheme="minorHAnsi"/>
          <w:color w:val="000000" w:themeColor="text1"/>
        </w:rPr>
        <w:t>you to focus resources on other priorities.</w:t>
      </w:r>
    </w:p>
    <w:p w14:paraId="4DDE4EF5" w14:textId="77777777" w:rsidR="00144E76" w:rsidRPr="0062100F" w:rsidRDefault="00144E76" w:rsidP="003178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487F24E" w14:textId="77777777" w:rsidR="00144E76" w:rsidRPr="0062100F" w:rsidRDefault="00144E76" w:rsidP="00144E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</w:rPr>
      </w:pPr>
      <w:r w:rsidRPr="0062100F">
        <w:rPr>
          <w:rFonts w:cstheme="minorHAnsi"/>
          <w:color w:val="231F20"/>
        </w:rPr>
        <w:t xml:space="preserve">Leveraging existing communication infrastructure, </w:t>
      </w:r>
      <w:r w:rsidR="00723690" w:rsidRPr="0062100F">
        <w:rPr>
          <w:rFonts w:cstheme="minorHAnsi"/>
          <w:color w:val="231F20"/>
        </w:rPr>
        <w:t>PowerSentry</w:t>
      </w:r>
      <w:r w:rsidRPr="0062100F">
        <w:rPr>
          <w:rFonts w:cstheme="minorHAnsi"/>
          <w:color w:val="231F20"/>
        </w:rPr>
        <w:t xml:space="preserve"> imports, manages, and securely stores power monitoring data from your meters and devices. Using the analytical engines of </w:t>
      </w:r>
      <w:r w:rsidR="00723690" w:rsidRPr="0062100F">
        <w:rPr>
          <w:rFonts w:cstheme="minorHAnsi"/>
          <w:color w:val="231F20"/>
        </w:rPr>
        <w:t>power monitoring software</w:t>
      </w:r>
      <w:r w:rsidRPr="0062100F">
        <w:rPr>
          <w:rFonts w:cstheme="minorHAnsi"/>
          <w:color w:val="231F20"/>
        </w:rPr>
        <w:t>, it identifies anomalies that may require immediate action to prevent imminent equipment failure or power outage. The service provides email alerts and</w:t>
      </w:r>
      <w:r w:rsidR="00B9515B" w:rsidRPr="0062100F">
        <w:rPr>
          <w:rFonts w:cstheme="minorHAnsi"/>
          <w:color w:val="231F20"/>
        </w:rPr>
        <w:t xml:space="preserve"> </w:t>
      </w:r>
      <w:r w:rsidRPr="0062100F">
        <w:rPr>
          <w:rFonts w:cstheme="minorHAnsi"/>
          <w:color w:val="231F20"/>
        </w:rPr>
        <w:t xml:space="preserve">next day event </w:t>
      </w:r>
      <w:r w:rsidR="00723690" w:rsidRPr="0062100F">
        <w:rPr>
          <w:rFonts w:cstheme="minorHAnsi"/>
          <w:color w:val="231F20"/>
        </w:rPr>
        <w:t>analysis</w:t>
      </w:r>
      <w:r w:rsidRPr="0062100F">
        <w:rPr>
          <w:rFonts w:cstheme="minorHAnsi"/>
          <w:color w:val="231F20"/>
        </w:rPr>
        <w:t xml:space="preserve"> for any captured events</w:t>
      </w:r>
      <w:r w:rsidR="00723690" w:rsidRPr="0062100F">
        <w:rPr>
          <w:rFonts w:cstheme="minorHAnsi"/>
          <w:color w:val="231F20"/>
        </w:rPr>
        <w:t>.</w:t>
      </w:r>
      <w:r w:rsidRPr="0062100F">
        <w:rPr>
          <w:rFonts w:cstheme="minorHAnsi"/>
          <w:color w:val="231F20"/>
        </w:rPr>
        <w:t xml:space="preserve"> PQ experts will analyze your data and provide </w:t>
      </w:r>
      <w:r w:rsidR="00723690" w:rsidRPr="0062100F">
        <w:rPr>
          <w:rFonts w:cstheme="minorHAnsi"/>
          <w:color w:val="231F20"/>
        </w:rPr>
        <w:t xml:space="preserve">up to eight </w:t>
      </w:r>
      <w:r w:rsidRPr="0062100F">
        <w:rPr>
          <w:rFonts w:cstheme="minorHAnsi"/>
          <w:color w:val="231F20"/>
        </w:rPr>
        <w:t xml:space="preserve">follow up event reports, as well as </w:t>
      </w:r>
      <w:r w:rsidR="00723690" w:rsidRPr="0062100F">
        <w:rPr>
          <w:rFonts w:cstheme="minorHAnsi"/>
          <w:color w:val="231F20"/>
        </w:rPr>
        <w:t>quarterly</w:t>
      </w:r>
      <w:r w:rsidRPr="0062100F">
        <w:rPr>
          <w:rFonts w:cstheme="minorHAnsi"/>
          <w:color w:val="231F20"/>
        </w:rPr>
        <w:t xml:space="preserve"> summary reports.</w:t>
      </w:r>
    </w:p>
    <w:p w14:paraId="4E678A5A" w14:textId="1571DFE0" w:rsidR="0085133C" w:rsidRDefault="0085133C" w:rsidP="0085133C">
      <w:pPr>
        <w:rPr>
          <w:rFonts w:ascii="Calibri" w:eastAsia="Times New Roman" w:hAnsi="Calibri" w:cs="Times New Roman"/>
          <w:bCs/>
        </w:rPr>
      </w:pPr>
    </w:p>
    <w:p w14:paraId="4CA6606D" w14:textId="797F1577" w:rsidR="00583366" w:rsidRDefault="00583366" w:rsidP="00583366">
      <w:pPr>
        <w:pStyle w:val="Heading2"/>
        <w:rPr>
          <w:rFonts w:eastAsia="Times New Roman"/>
        </w:rPr>
      </w:pPr>
      <w:r>
        <w:rPr>
          <w:rFonts w:eastAsia="Times New Roman"/>
        </w:rPr>
        <w:t>Services Offered</w:t>
      </w:r>
    </w:p>
    <w:p w14:paraId="1B676055" w14:textId="77777777" w:rsidR="00583366" w:rsidRPr="00583366" w:rsidRDefault="00583366" w:rsidP="005833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8D75CB" w14:paraId="321965D9" w14:textId="77777777" w:rsidTr="0062100F">
        <w:trPr>
          <w:trHeight w:hRule="exact" w:val="680"/>
        </w:trPr>
        <w:tc>
          <w:tcPr>
            <w:tcW w:w="1838" w:type="dxa"/>
            <w:shd w:val="clear" w:color="auto" w:fill="365F91" w:themeFill="accent1" w:themeFillShade="BF"/>
            <w:vAlign w:val="center"/>
          </w:tcPr>
          <w:bookmarkEnd w:id="0"/>
          <w:p w14:paraId="1F139552" w14:textId="251B22E0" w:rsidR="0062100F" w:rsidRPr="0062100F" w:rsidRDefault="007B7E47" w:rsidP="0062100F">
            <w:pPr>
              <w:jc w:val="center"/>
              <w:rPr>
                <w:rStyle w:val="Heading2Char"/>
                <w:color w:val="FFFFFF" w:themeColor="background1"/>
              </w:rPr>
            </w:pPr>
            <w:r w:rsidRPr="0062100F">
              <w:rPr>
                <w:rStyle w:val="Heading2Char"/>
                <w:color w:val="FFFFFF" w:themeColor="background1"/>
              </w:rPr>
              <w:t>Service</w:t>
            </w:r>
          </w:p>
        </w:tc>
        <w:tc>
          <w:tcPr>
            <w:tcW w:w="7512" w:type="dxa"/>
            <w:shd w:val="clear" w:color="auto" w:fill="365F91" w:themeFill="accent1" w:themeFillShade="BF"/>
            <w:vAlign w:val="center"/>
          </w:tcPr>
          <w:p w14:paraId="4D543245" w14:textId="1F7A4764" w:rsidR="008D75CB" w:rsidRPr="0062100F" w:rsidRDefault="007B7E47" w:rsidP="0062100F">
            <w:pPr>
              <w:jc w:val="center"/>
              <w:rPr>
                <w:rStyle w:val="Heading2Char"/>
                <w:color w:val="FFFFFF" w:themeColor="background1"/>
              </w:rPr>
            </w:pPr>
            <w:r w:rsidRPr="0062100F">
              <w:rPr>
                <w:rStyle w:val="Heading2Char"/>
                <w:color w:val="FFFFFF" w:themeColor="background1"/>
              </w:rPr>
              <w:t>Description</w:t>
            </w:r>
          </w:p>
        </w:tc>
      </w:tr>
      <w:tr w:rsidR="007B7E47" w14:paraId="4E6EFFBC" w14:textId="77777777" w:rsidTr="007B7E47">
        <w:tc>
          <w:tcPr>
            <w:tcW w:w="1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F513" w14:textId="15E1315E" w:rsidR="007B7E47" w:rsidRDefault="007B7E47" w:rsidP="007B7E47">
            <w:pPr>
              <w:rPr>
                <w:rStyle w:val="Heading2Char"/>
              </w:rPr>
            </w:pPr>
            <w:r w:rsidRPr="00265EDF">
              <w:rPr>
                <w:rFonts w:ascii="Calibri" w:eastAsia="Times New Roman" w:hAnsi="Calibri" w:cs="Times New Roman"/>
                <w:b/>
                <w:bCs/>
              </w:rPr>
              <w:t>One-time Setup per Device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B198" w14:textId="2F989F41" w:rsidR="007B7E47" w:rsidRPr="0062100F" w:rsidRDefault="007B7E47" w:rsidP="007B7E47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bCs/>
              </w:rPr>
            </w:pPr>
            <w:r w:rsidRPr="0062100F">
              <w:rPr>
                <w:rFonts w:ascii="Calibri" w:eastAsia="Times New Roman" w:hAnsi="Calibri" w:cs="Times New Roman"/>
                <w:bCs/>
              </w:rPr>
              <w:t>Includes:</w:t>
            </w:r>
          </w:p>
          <w:p w14:paraId="6D2D87CA" w14:textId="77777777" w:rsidR="007B7E47" w:rsidRPr="0062100F" w:rsidRDefault="007B7E47" w:rsidP="007B7E47">
            <w:pPr>
              <w:pStyle w:val="ListParagraph"/>
              <w:numPr>
                <w:ilvl w:val="1"/>
                <w:numId w:val="33"/>
              </w:numPr>
              <w:rPr>
                <w:rFonts w:ascii="Calibri" w:eastAsia="Times New Roman" w:hAnsi="Calibri" w:cs="Times New Roman"/>
                <w:bCs/>
              </w:rPr>
            </w:pPr>
            <w:r w:rsidRPr="0062100F">
              <w:rPr>
                <w:rFonts w:ascii="Calibri" w:eastAsia="Times New Roman" w:hAnsi="Calibri" w:cs="Times New Roman"/>
                <w:bCs/>
              </w:rPr>
              <w:t>Establish communications with new devices</w:t>
            </w:r>
          </w:p>
          <w:p w14:paraId="06BF32BB" w14:textId="77777777" w:rsidR="007B7E47" w:rsidRPr="0062100F" w:rsidRDefault="007B7E47" w:rsidP="007B7E47">
            <w:pPr>
              <w:pStyle w:val="ListParagraph"/>
              <w:numPr>
                <w:ilvl w:val="1"/>
                <w:numId w:val="33"/>
              </w:numPr>
              <w:rPr>
                <w:rFonts w:ascii="Calibri" w:eastAsia="Times New Roman" w:hAnsi="Calibri" w:cs="Times New Roman"/>
                <w:bCs/>
              </w:rPr>
            </w:pPr>
            <w:r w:rsidRPr="0062100F">
              <w:rPr>
                <w:rFonts w:ascii="Calibri" w:eastAsia="Times New Roman" w:hAnsi="Calibri" w:cs="Times New Roman"/>
                <w:bCs/>
              </w:rPr>
              <w:t>Create new device on database and setup device access and permissions</w:t>
            </w:r>
          </w:p>
          <w:p w14:paraId="7009DFCF" w14:textId="77777777" w:rsidR="007B7E47" w:rsidRPr="0062100F" w:rsidRDefault="007B7E47" w:rsidP="007B7E47">
            <w:pPr>
              <w:pStyle w:val="ListParagraph"/>
              <w:numPr>
                <w:ilvl w:val="1"/>
                <w:numId w:val="33"/>
              </w:numPr>
              <w:rPr>
                <w:rFonts w:ascii="Calibri" w:eastAsia="Times New Roman" w:hAnsi="Calibri" w:cs="Times New Roman"/>
                <w:bCs/>
              </w:rPr>
            </w:pPr>
            <w:r w:rsidRPr="0062100F">
              <w:rPr>
                <w:rFonts w:ascii="Calibri" w:eastAsia="Times New Roman" w:hAnsi="Calibri" w:cs="Times New Roman"/>
                <w:bCs/>
              </w:rPr>
              <w:t>Configure device with proper voltage and current inputs</w:t>
            </w:r>
          </w:p>
          <w:p w14:paraId="45DC0B06" w14:textId="77777777" w:rsidR="007B7E47" w:rsidRPr="0062100F" w:rsidRDefault="007B7E47" w:rsidP="007B7E47">
            <w:pPr>
              <w:pStyle w:val="ListParagraph"/>
              <w:numPr>
                <w:ilvl w:val="1"/>
                <w:numId w:val="33"/>
              </w:numPr>
              <w:rPr>
                <w:rFonts w:ascii="Calibri" w:eastAsia="Times New Roman" w:hAnsi="Calibri" w:cs="Times New Roman"/>
                <w:bCs/>
              </w:rPr>
            </w:pPr>
            <w:r w:rsidRPr="0062100F">
              <w:rPr>
                <w:rFonts w:ascii="Calibri" w:eastAsia="Times New Roman" w:hAnsi="Calibri" w:cs="Times New Roman"/>
                <w:bCs/>
              </w:rPr>
              <w:t>Verify database is polling and downloading data</w:t>
            </w:r>
          </w:p>
          <w:p w14:paraId="1B463087" w14:textId="0F043602" w:rsidR="007B7E47" w:rsidRPr="0062100F" w:rsidRDefault="007B7E47" w:rsidP="007B7E47">
            <w:pPr>
              <w:pStyle w:val="ListParagraph"/>
              <w:numPr>
                <w:ilvl w:val="0"/>
                <w:numId w:val="33"/>
              </w:numPr>
              <w:rPr>
                <w:rFonts w:ascii="Calibri" w:eastAsia="Times New Roman" w:hAnsi="Calibri" w:cs="Times New Roman"/>
                <w:bCs/>
              </w:rPr>
            </w:pPr>
            <w:r w:rsidRPr="0062100F">
              <w:rPr>
                <w:rFonts w:ascii="Calibri" w:eastAsia="Times New Roman" w:hAnsi="Calibri" w:cs="Times New Roman"/>
                <w:bCs/>
              </w:rPr>
              <w:t>Setup event and report notifications. Email notifications are tested to ensure messages getting to proper users in a timely manner</w:t>
            </w:r>
          </w:p>
          <w:p w14:paraId="231A9912" w14:textId="0A5C3905" w:rsidR="007B7E47" w:rsidRPr="0062100F" w:rsidRDefault="007B7E47" w:rsidP="007B7E47">
            <w:pPr>
              <w:ind w:left="360"/>
              <w:rPr>
                <w:rStyle w:val="Heading2Char"/>
                <w:sz w:val="22"/>
              </w:rPr>
            </w:pPr>
          </w:p>
        </w:tc>
      </w:tr>
      <w:tr w:rsidR="007B7E47" w14:paraId="7686FF73" w14:textId="77777777" w:rsidTr="00583366"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B1FB" w14:textId="6E5B23EB" w:rsidR="007B7E47" w:rsidRDefault="007B7E47" w:rsidP="007B7E47">
            <w:pPr>
              <w:rPr>
                <w:rStyle w:val="Heading2Char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Administration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D1F4" w14:textId="77777777" w:rsidR="007B7E47" w:rsidRPr="0062100F" w:rsidRDefault="007B7E47" w:rsidP="007B7E47">
            <w:pPr>
              <w:pStyle w:val="ListParagraph"/>
              <w:numPr>
                <w:ilvl w:val="0"/>
                <w:numId w:val="34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Maintain communication and download data from end-user device(s)</w:t>
            </w:r>
          </w:p>
          <w:p w14:paraId="2AEC408E" w14:textId="77777777" w:rsidR="007B7E47" w:rsidRPr="0062100F" w:rsidRDefault="007B7E47" w:rsidP="007B7E47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The type of data being downloaded will be limited to the capabilities and data channels available from the end user device. A list of channels available can be determined when information about the devices to be connected is available.</w:t>
            </w:r>
          </w:p>
          <w:p w14:paraId="447542EE" w14:textId="69A85B7A" w:rsidR="007B7E47" w:rsidRPr="0062100F" w:rsidRDefault="007B7E47" w:rsidP="007B7E47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Send email alerts when required for events outside set thresholds</w:t>
            </w:r>
          </w:p>
          <w:p w14:paraId="7ACA49E2" w14:textId="63B29C50" w:rsidR="007B7E47" w:rsidRPr="0062100F" w:rsidRDefault="007B7E47" w:rsidP="007B7E47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Maintain up to two years of data available on production database. Data beyond two years will be archived and can be made available for special reporting or investigations if required</w:t>
            </w:r>
          </w:p>
          <w:p w14:paraId="5999A620" w14:textId="263BEAFC" w:rsidR="007B7E47" w:rsidRPr="0062100F" w:rsidRDefault="007B7E47" w:rsidP="007B7E47">
            <w:pPr>
              <w:rPr>
                <w:rStyle w:val="Heading2Char"/>
                <w:sz w:val="22"/>
              </w:rPr>
            </w:pPr>
            <w:r w:rsidRPr="0062100F">
              <w:rPr>
                <w:rFonts w:ascii="Calibri" w:eastAsia="Times New Roman" w:hAnsi="Calibri" w:cs="Times New Roman"/>
              </w:rPr>
              <w:t>.</w:t>
            </w:r>
          </w:p>
        </w:tc>
      </w:tr>
    </w:tbl>
    <w:p w14:paraId="511B7C60" w14:textId="77777777" w:rsidR="00583366" w:rsidRDefault="0058336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83366" w14:paraId="4867B78C" w14:textId="77777777" w:rsidTr="00583366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7742B" w14:textId="77777777" w:rsidR="00583366" w:rsidRDefault="00583366" w:rsidP="00583366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06D23" w14:textId="77777777" w:rsidR="00583366" w:rsidRPr="00583366" w:rsidRDefault="00583366" w:rsidP="00583366">
            <w:pPr>
              <w:rPr>
                <w:rFonts w:ascii="Calibri" w:eastAsia="Times New Roman" w:hAnsi="Calibri" w:cs="Times New Roman"/>
              </w:rPr>
            </w:pPr>
          </w:p>
        </w:tc>
      </w:tr>
      <w:tr w:rsidR="00583366" w14:paraId="5A02A356" w14:textId="77777777" w:rsidTr="00583366"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64C4D" w14:textId="77777777" w:rsidR="00583366" w:rsidRDefault="00583366" w:rsidP="00583366">
            <w:pPr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9FE04" w14:textId="77777777" w:rsidR="00583366" w:rsidRPr="00583366" w:rsidRDefault="00583366" w:rsidP="00583366">
            <w:pPr>
              <w:rPr>
                <w:rFonts w:ascii="Calibri" w:eastAsia="Times New Roman" w:hAnsi="Calibri" w:cs="Times New Roman"/>
              </w:rPr>
            </w:pPr>
          </w:p>
        </w:tc>
      </w:tr>
      <w:tr w:rsidR="007B7E47" w14:paraId="63D1D51B" w14:textId="77777777" w:rsidTr="005833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D936" w14:textId="576ECF81" w:rsidR="007B7E47" w:rsidRDefault="007B7E47" w:rsidP="007B7E47">
            <w:pPr>
              <w:rPr>
                <w:rStyle w:val="Heading2Char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Annual Ongoing Analysis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3ED3" w14:textId="77777777" w:rsidR="007B7E47" w:rsidRPr="0062100F" w:rsidRDefault="007B7E47" w:rsidP="007B7E47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b/>
                <w:bCs/>
              </w:rPr>
            </w:pPr>
            <w:r w:rsidRPr="0062100F">
              <w:rPr>
                <w:rFonts w:ascii="Calibri" w:eastAsia="Times New Roman" w:hAnsi="Calibri" w:cs="Times New Roman"/>
              </w:rPr>
              <w:t>Monitor all events and trend data searching for anomalies that may impact end-user’s operation</w:t>
            </w:r>
          </w:p>
          <w:p w14:paraId="2F1FEE9C" w14:textId="77777777" w:rsidR="007B7E47" w:rsidRPr="0062100F" w:rsidRDefault="007B7E47" w:rsidP="007B7E47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bCs/>
              </w:rPr>
            </w:pPr>
            <w:r w:rsidRPr="0062100F">
              <w:rPr>
                <w:rFonts w:ascii="Calibri" w:eastAsia="Times New Roman" w:hAnsi="Calibri" w:cs="Times New Roman"/>
              </w:rPr>
              <w:t>Identify trend data anomalies that may require further action.</w:t>
            </w:r>
          </w:p>
          <w:p w14:paraId="2F473927" w14:textId="6DA384FD" w:rsidR="007B7E47" w:rsidRPr="0062100F" w:rsidRDefault="007B7E47" w:rsidP="00E55DB6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  <w:bCs/>
              </w:rPr>
              <w:t>Advise customer via email when a significant anomaly is found and not previously reported</w:t>
            </w:r>
          </w:p>
          <w:p w14:paraId="6C53BEF6" w14:textId="77777777" w:rsidR="007B7E47" w:rsidRPr="0062100F" w:rsidRDefault="007B7E47" w:rsidP="007B7E47">
            <w:pPr>
              <w:rPr>
                <w:rStyle w:val="Heading2Char"/>
                <w:sz w:val="22"/>
              </w:rPr>
            </w:pPr>
          </w:p>
        </w:tc>
      </w:tr>
      <w:tr w:rsidR="007B7E47" w14:paraId="0C6B1A1A" w14:textId="77777777" w:rsidTr="0058336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62D3" w14:textId="71AC0889" w:rsidR="007B7E47" w:rsidRDefault="007B7E47" w:rsidP="007B7E47">
            <w:pPr>
              <w:rPr>
                <w:rStyle w:val="Heading2Char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Event Incident Reports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54EC" w14:textId="77777777" w:rsidR="007B7E47" w:rsidRPr="0062100F" w:rsidRDefault="007B7E47" w:rsidP="007B7E47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Prepare Incident reports on the next business day for events outside normal defined threshold that are requested by the end-user. Up to eight (8) Incident reports will be provided at the customer’s request, typically when a known event has had an impact on the end-user’s operation.</w:t>
            </w:r>
          </w:p>
          <w:p w14:paraId="2656C3F8" w14:textId="77777777" w:rsidR="007B7E47" w:rsidRPr="0062100F" w:rsidRDefault="007B7E47" w:rsidP="007B7E47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These reports will be created and emailed typically the same business day but no later than 2 business days</w:t>
            </w:r>
          </w:p>
          <w:p w14:paraId="2B80EF5A" w14:textId="77777777" w:rsidR="007B7E47" w:rsidRPr="0062100F" w:rsidRDefault="007B7E47" w:rsidP="007B7E47">
            <w:pPr>
              <w:rPr>
                <w:rStyle w:val="Heading2Char"/>
                <w:sz w:val="22"/>
              </w:rPr>
            </w:pPr>
          </w:p>
        </w:tc>
      </w:tr>
      <w:tr w:rsidR="007B7E47" w14:paraId="4D3A8981" w14:textId="77777777" w:rsidTr="00F57F1B"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1916" w14:textId="03D8A9CE" w:rsidR="007B7E47" w:rsidRDefault="007B7E47" w:rsidP="007B7E47">
            <w:pPr>
              <w:rPr>
                <w:rStyle w:val="Heading2Char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Quarterly Summary Reports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B53" w14:textId="00C88A36" w:rsidR="007B7E47" w:rsidRPr="0062100F" w:rsidRDefault="007B7E47" w:rsidP="007B7E4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 xml:space="preserve">Prepare quarterly summary reports summarizing event and trend data and show performance against normal industry or user defined standards. </w:t>
            </w:r>
          </w:p>
          <w:p w14:paraId="286AD99D" w14:textId="5C7E647F" w:rsidR="007B7E47" w:rsidRPr="0062100F" w:rsidRDefault="007B7E47" w:rsidP="007B7E47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Reports will be emailed to end-users within 10 business days after the quarter ending</w:t>
            </w:r>
          </w:p>
          <w:p w14:paraId="213018F7" w14:textId="3F2BC7BD" w:rsidR="007B7E47" w:rsidRPr="0062100F" w:rsidRDefault="007B7E47" w:rsidP="007B7E47">
            <w:pPr>
              <w:pStyle w:val="ListParagraph"/>
              <w:ind w:left="360"/>
              <w:rPr>
                <w:rStyle w:val="Heading2Char"/>
                <w:sz w:val="22"/>
              </w:rPr>
            </w:pPr>
          </w:p>
        </w:tc>
      </w:tr>
      <w:tr w:rsidR="0062100F" w14:paraId="2983C6CF" w14:textId="77777777" w:rsidTr="0062100F">
        <w:trPr>
          <w:trHeight w:val="44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0E62E1C" w14:textId="1F8F2862" w:rsidR="0062100F" w:rsidRPr="0062100F" w:rsidRDefault="0062100F" w:rsidP="0062100F">
            <w:pPr>
              <w:jc w:val="center"/>
              <w:rPr>
                <w:rStyle w:val="Heading2Char"/>
                <w:sz w:val="24"/>
              </w:rPr>
            </w:pPr>
            <w:r w:rsidRPr="0062100F">
              <w:rPr>
                <w:rFonts w:asciiTheme="majorHAnsi" w:hAnsiTheme="majorHAnsi" w:cs="Arial"/>
                <w:b/>
                <w:bCs/>
                <w:color w:val="000000"/>
                <w:sz w:val="24"/>
                <w:lang w:val="en-CA" w:eastAsia="en-CA"/>
              </w:rPr>
              <w:t>Optional PowerSentry Services</w:t>
            </w:r>
          </w:p>
        </w:tc>
      </w:tr>
      <w:tr w:rsidR="007B7E47" w14:paraId="74DF6AA2" w14:textId="77777777" w:rsidTr="00576CD6"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B67C" w14:textId="11948364" w:rsidR="007B7E47" w:rsidRDefault="007B7E47" w:rsidP="007B7E47">
            <w:pPr>
              <w:rPr>
                <w:rStyle w:val="Heading2Char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Monthly Summary Reports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3C51" w14:textId="77777777" w:rsidR="007B7E47" w:rsidRPr="0062100F" w:rsidRDefault="007B7E47" w:rsidP="007B7E47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Prepare monthly summary reports summarizing event and trend data and show performance against normal industry or user defined standards.</w:t>
            </w:r>
          </w:p>
          <w:p w14:paraId="3DF3B09D" w14:textId="48CB51EC" w:rsidR="007B7E47" w:rsidRPr="0062100F" w:rsidRDefault="007B7E47" w:rsidP="007B7E47">
            <w:pPr>
              <w:pStyle w:val="ListParagraph"/>
              <w:numPr>
                <w:ilvl w:val="0"/>
                <w:numId w:val="38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End-users can opt for monthly reports rather than quarterly reports. Monthly summary reports will be provided within 10 business days after month end</w:t>
            </w:r>
            <w:r w:rsidRPr="0062100F">
              <w:rPr>
                <w:rFonts w:ascii="Calibri" w:eastAsia="Times New Roman" w:hAnsi="Calibri" w:cs="Times New Roman"/>
              </w:rPr>
              <w:t>.</w:t>
            </w:r>
          </w:p>
          <w:p w14:paraId="155B913C" w14:textId="77777777" w:rsidR="007B7E47" w:rsidRPr="0062100F" w:rsidRDefault="007B7E47" w:rsidP="007B7E47">
            <w:pPr>
              <w:rPr>
                <w:rStyle w:val="Heading2Char"/>
                <w:sz w:val="22"/>
              </w:rPr>
            </w:pPr>
          </w:p>
        </w:tc>
      </w:tr>
      <w:tr w:rsidR="007B7E47" w14:paraId="60E27420" w14:textId="77777777" w:rsidTr="00F1769F"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F86F" w14:textId="76FF0FED" w:rsidR="007B7E47" w:rsidRDefault="007B7E47" w:rsidP="007B7E47">
            <w:pPr>
              <w:rPr>
                <w:rStyle w:val="Heading2Char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Annual Year-End Summary Report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DB6E" w14:textId="77777777" w:rsidR="007B7E47" w:rsidRPr="0062100F" w:rsidRDefault="007B7E47" w:rsidP="007B7E47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bCs/>
              </w:rPr>
            </w:pPr>
            <w:r w:rsidRPr="0062100F">
              <w:rPr>
                <w:rFonts w:ascii="Calibri" w:eastAsia="Times New Roman" w:hAnsi="Calibri" w:cs="Times New Roman"/>
              </w:rPr>
              <w:t>Prepare annual summary reports summarizing event and trend data and show performance against normal industry or user defined standards.</w:t>
            </w:r>
          </w:p>
          <w:p w14:paraId="1878C6D5" w14:textId="77777777" w:rsidR="007B7E47" w:rsidRPr="0062100F" w:rsidRDefault="007B7E47" w:rsidP="007B7E47">
            <w:pPr>
              <w:pStyle w:val="ListParagraph"/>
              <w:numPr>
                <w:ilvl w:val="0"/>
                <w:numId w:val="39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End-users can opt for an annual summary report. Annual summary reports will be provided within 20 business days after year end.</w:t>
            </w:r>
          </w:p>
          <w:p w14:paraId="56499B95" w14:textId="77777777" w:rsidR="007B7E47" w:rsidRPr="0062100F" w:rsidRDefault="007B7E47" w:rsidP="007B7E47">
            <w:pPr>
              <w:rPr>
                <w:rStyle w:val="Heading2Char"/>
                <w:sz w:val="22"/>
              </w:rPr>
            </w:pPr>
          </w:p>
        </w:tc>
      </w:tr>
      <w:tr w:rsidR="007B7E47" w14:paraId="6C3CEFA3" w14:textId="77777777" w:rsidTr="00F6107C">
        <w:tc>
          <w:tcPr>
            <w:tcW w:w="1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7484" w14:textId="0C2113FB" w:rsidR="007B7E47" w:rsidRDefault="007B7E47" w:rsidP="007B7E47">
            <w:pPr>
              <w:rPr>
                <w:rStyle w:val="Heading2Char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Additional Support Hours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49A4" w14:textId="3B3647AF" w:rsidR="007B7E47" w:rsidRPr="0062100F" w:rsidRDefault="007B7E47" w:rsidP="007B7E47">
            <w:pPr>
              <w:pStyle w:val="ListParagraph"/>
              <w:numPr>
                <w:ilvl w:val="0"/>
                <w:numId w:val="40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 xml:space="preserve">End-users may opt to purchase additional support hours in blocks of 8 or 40 hours for additional support including but not limited to: </w:t>
            </w:r>
          </w:p>
          <w:p w14:paraId="14FE0108" w14:textId="77777777" w:rsidR="007B7E47" w:rsidRPr="0062100F" w:rsidRDefault="007B7E47" w:rsidP="0062100F">
            <w:pPr>
              <w:pStyle w:val="ListParagraph"/>
              <w:numPr>
                <w:ilvl w:val="1"/>
                <w:numId w:val="40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Additional reporting and investigation</w:t>
            </w:r>
          </w:p>
          <w:p w14:paraId="6F7A4B79" w14:textId="77777777" w:rsidR="007B7E47" w:rsidRPr="0062100F" w:rsidRDefault="007B7E47" w:rsidP="0062100F">
            <w:pPr>
              <w:pStyle w:val="ListParagraph"/>
              <w:numPr>
                <w:ilvl w:val="1"/>
                <w:numId w:val="40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Provide mitigation options</w:t>
            </w:r>
          </w:p>
          <w:p w14:paraId="41AE4A4E" w14:textId="77777777" w:rsidR="007B7E47" w:rsidRPr="0062100F" w:rsidRDefault="007B7E47" w:rsidP="0062100F">
            <w:pPr>
              <w:pStyle w:val="ListParagraph"/>
              <w:numPr>
                <w:ilvl w:val="1"/>
                <w:numId w:val="40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Follow-up with critical equipment vendors</w:t>
            </w:r>
          </w:p>
          <w:p w14:paraId="56657B29" w14:textId="77777777" w:rsidR="007B7E47" w:rsidRPr="0062100F" w:rsidRDefault="007B7E47" w:rsidP="0062100F">
            <w:pPr>
              <w:pStyle w:val="ListParagraph"/>
              <w:numPr>
                <w:ilvl w:val="1"/>
                <w:numId w:val="40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Customized meter configuration</w:t>
            </w:r>
          </w:p>
          <w:p w14:paraId="0E32B228" w14:textId="77777777" w:rsidR="007B7E47" w:rsidRPr="0062100F" w:rsidRDefault="007B7E47" w:rsidP="0062100F">
            <w:pPr>
              <w:pStyle w:val="ListParagraph"/>
              <w:numPr>
                <w:ilvl w:val="1"/>
                <w:numId w:val="40"/>
              </w:numPr>
              <w:rPr>
                <w:rFonts w:ascii="Calibri" w:eastAsia="Times New Roman" w:hAnsi="Calibri" w:cs="Times New Roman"/>
              </w:rPr>
            </w:pPr>
            <w:r w:rsidRPr="0062100F">
              <w:rPr>
                <w:rFonts w:ascii="Calibri" w:eastAsia="Times New Roman" w:hAnsi="Calibri" w:cs="Times New Roman"/>
              </w:rPr>
              <w:t>Provide additional Incident Reports</w:t>
            </w:r>
          </w:p>
          <w:p w14:paraId="2660D7A1" w14:textId="77777777" w:rsidR="007B7E47" w:rsidRPr="0062100F" w:rsidRDefault="007B7E47" w:rsidP="007B7E47">
            <w:pPr>
              <w:rPr>
                <w:rStyle w:val="Heading2Char"/>
                <w:sz w:val="22"/>
              </w:rPr>
            </w:pPr>
          </w:p>
        </w:tc>
      </w:tr>
    </w:tbl>
    <w:p w14:paraId="43F534FE" w14:textId="77777777" w:rsidR="002926EA" w:rsidRDefault="002926EA" w:rsidP="00A53073">
      <w:pPr>
        <w:rPr>
          <w:rStyle w:val="Heading2Char"/>
        </w:rPr>
      </w:pPr>
    </w:p>
    <w:sectPr w:rsidR="002926EA" w:rsidSect="0062100F">
      <w:headerReference w:type="default" r:id="rId7"/>
      <w:footerReference w:type="default" r:id="rId8"/>
      <w:pgSz w:w="12240" w:h="15840"/>
      <w:pgMar w:top="1440" w:right="1440" w:bottom="1440" w:left="1440" w:header="7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F840A" w14:textId="77777777" w:rsidR="00B80FE9" w:rsidRDefault="00B80FE9" w:rsidP="004119E3">
      <w:pPr>
        <w:spacing w:after="0" w:line="240" w:lineRule="auto"/>
      </w:pPr>
      <w:r>
        <w:separator/>
      </w:r>
    </w:p>
  </w:endnote>
  <w:endnote w:type="continuationSeparator" w:id="0">
    <w:p w14:paraId="24E88E50" w14:textId="77777777" w:rsidR="00B80FE9" w:rsidRDefault="00B80FE9" w:rsidP="0041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24CB0" w14:textId="77777777" w:rsidR="004119E3" w:rsidRDefault="004119E3">
    <w:pPr>
      <w:pStyle w:val="Footer"/>
    </w:pPr>
    <w:r>
      <w:t>PowerCore Engineering Ltd. 514 Newbold St. London, ON N6E 1K6. (519) 474-1175</w:t>
    </w:r>
  </w:p>
  <w:p w14:paraId="7B94B21B" w14:textId="77777777" w:rsidR="004119E3" w:rsidRDefault="0041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8E159" w14:textId="77777777" w:rsidR="00B80FE9" w:rsidRDefault="00B80FE9" w:rsidP="004119E3">
      <w:pPr>
        <w:spacing w:after="0" w:line="240" w:lineRule="auto"/>
      </w:pPr>
      <w:r>
        <w:separator/>
      </w:r>
    </w:p>
  </w:footnote>
  <w:footnote w:type="continuationSeparator" w:id="0">
    <w:p w14:paraId="293E4469" w14:textId="77777777" w:rsidR="00B80FE9" w:rsidRDefault="00B80FE9" w:rsidP="0041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96FB" w14:textId="77777777" w:rsidR="004119E3" w:rsidRDefault="004119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3E7FB6" wp14:editId="34B6474E">
          <wp:simplePos x="0" y="0"/>
          <wp:positionH relativeFrom="column">
            <wp:posOffset>-692150</wp:posOffset>
          </wp:positionH>
          <wp:positionV relativeFrom="paragraph">
            <wp:posOffset>-254000</wp:posOffset>
          </wp:positionV>
          <wp:extent cx="2286000" cy="640080"/>
          <wp:effectExtent l="0" t="0" r="0" b="7620"/>
          <wp:wrapThrough wrapText="bothSides">
            <wp:wrapPolygon edited="0">
              <wp:start x="0" y="0"/>
              <wp:lineTo x="0" y="21214"/>
              <wp:lineTo x="21420" y="21214"/>
              <wp:lineTo x="2142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Core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F080F" w14:textId="77777777" w:rsidR="004119E3" w:rsidRDefault="0041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C43"/>
    <w:multiLevelType w:val="hybridMultilevel"/>
    <w:tmpl w:val="15AE3D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82E18"/>
    <w:multiLevelType w:val="hybridMultilevel"/>
    <w:tmpl w:val="FCDE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4FFF"/>
    <w:multiLevelType w:val="hybridMultilevel"/>
    <w:tmpl w:val="D7FA3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281B"/>
    <w:multiLevelType w:val="hybridMultilevel"/>
    <w:tmpl w:val="1E3E882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E23B9"/>
    <w:multiLevelType w:val="hybridMultilevel"/>
    <w:tmpl w:val="C1660D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55785"/>
    <w:multiLevelType w:val="hybridMultilevel"/>
    <w:tmpl w:val="6312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70"/>
    <w:multiLevelType w:val="hybridMultilevel"/>
    <w:tmpl w:val="0E86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542CC"/>
    <w:multiLevelType w:val="hybridMultilevel"/>
    <w:tmpl w:val="2D742CF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C43D8"/>
    <w:multiLevelType w:val="hybridMultilevel"/>
    <w:tmpl w:val="C1EAA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351C2A"/>
    <w:multiLevelType w:val="hybridMultilevel"/>
    <w:tmpl w:val="FA38F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DD8"/>
    <w:multiLevelType w:val="hybridMultilevel"/>
    <w:tmpl w:val="1E3E882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925AC"/>
    <w:multiLevelType w:val="hybridMultilevel"/>
    <w:tmpl w:val="F1C6D9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10667"/>
    <w:multiLevelType w:val="hybridMultilevel"/>
    <w:tmpl w:val="9868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2C11"/>
    <w:multiLevelType w:val="hybridMultilevel"/>
    <w:tmpl w:val="66AC4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D91"/>
    <w:multiLevelType w:val="hybridMultilevel"/>
    <w:tmpl w:val="0FF2F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F045D"/>
    <w:multiLevelType w:val="hybridMultilevel"/>
    <w:tmpl w:val="15AE3D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8413B"/>
    <w:multiLevelType w:val="hybridMultilevel"/>
    <w:tmpl w:val="57CCC8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5F97"/>
    <w:multiLevelType w:val="hybridMultilevel"/>
    <w:tmpl w:val="2D742CF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B07C3"/>
    <w:multiLevelType w:val="hybridMultilevel"/>
    <w:tmpl w:val="AC445A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125725"/>
    <w:multiLevelType w:val="hybridMultilevel"/>
    <w:tmpl w:val="E040894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25E7D"/>
    <w:multiLevelType w:val="hybridMultilevel"/>
    <w:tmpl w:val="C7186E3C"/>
    <w:lvl w:ilvl="0" w:tplc="C82237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C822377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425F4"/>
    <w:multiLevelType w:val="hybridMultilevel"/>
    <w:tmpl w:val="66AC4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F02B6"/>
    <w:multiLevelType w:val="hybridMultilevel"/>
    <w:tmpl w:val="5238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822377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01267"/>
    <w:multiLevelType w:val="hybridMultilevel"/>
    <w:tmpl w:val="9D10127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EF680D"/>
    <w:multiLevelType w:val="hybridMultilevel"/>
    <w:tmpl w:val="1048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304C3"/>
    <w:multiLevelType w:val="hybridMultilevel"/>
    <w:tmpl w:val="D9504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222135"/>
    <w:multiLevelType w:val="hybridMultilevel"/>
    <w:tmpl w:val="ABE2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298D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81B60"/>
    <w:multiLevelType w:val="hybridMultilevel"/>
    <w:tmpl w:val="F2DEB05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B75BDC"/>
    <w:multiLevelType w:val="hybridMultilevel"/>
    <w:tmpl w:val="E4E2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367CD"/>
    <w:multiLevelType w:val="hybridMultilevel"/>
    <w:tmpl w:val="25744A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70B24"/>
    <w:multiLevelType w:val="hybridMultilevel"/>
    <w:tmpl w:val="476EA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8E2358"/>
    <w:multiLevelType w:val="hybridMultilevel"/>
    <w:tmpl w:val="62C0C8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AE35C5"/>
    <w:multiLevelType w:val="hybridMultilevel"/>
    <w:tmpl w:val="FA38F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22CF2"/>
    <w:multiLevelType w:val="hybridMultilevel"/>
    <w:tmpl w:val="0E869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2E7A13"/>
    <w:multiLevelType w:val="hybridMultilevel"/>
    <w:tmpl w:val="0FF2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5108D9"/>
    <w:multiLevelType w:val="hybridMultilevel"/>
    <w:tmpl w:val="5CD00D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6F3598"/>
    <w:multiLevelType w:val="hybridMultilevel"/>
    <w:tmpl w:val="9A0437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CF74EA"/>
    <w:multiLevelType w:val="hybridMultilevel"/>
    <w:tmpl w:val="286628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0D7F4E"/>
    <w:multiLevelType w:val="hybridMultilevel"/>
    <w:tmpl w:val="3A261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51D45"/>
    <w:multiLevelType w:val="hybridMultilevel"/>
    <w:tmpl w:val="979A8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24"/>
  </w:num>
  <w:num w:numId="5">
    <w:abstractNumId w:val="26"/>
  </w:num>
  <w:num w:numId="6">
    <w:abstractNumId w:val="5"/>
  </w:num>
  <w:num w:numId="7">
    <w:abstractNumId w:val="37"/>
  </w:num>
  <w:num w:numId="8">
    <w:abstractNumId w:val="6"/>
  </w:num>
  <w:num w:numId="9">
    <w:abstractNumId w:val="9"/>
  </w:num>
  <w:num w:numId="10">
    <w:abstractNumId w:val="8"/>
  </w:num>
  <w:num w:numId="11">
    <w:abstractNumId w:val="22"/>
  </w:num>
  <w:num w:numId="12">
    <w:abstractNumId w:val="14"/>
  </w:num>
  <w:num w:numId="13">
    <w:abstractNumId w:val="16"/>
  </w:num>
  <w:num w:numId="14">
    <w:abstractNumId w:val="13"/>
  </w:num>
  <w:num w:numId="15">
    <w:abstractNumId w:val="39"/>
  </w:num>
  <w:num w:numId="16">
    <w:abstractNumId w:val="29"/>
  </w:num>
  <w:num w:numId="17">
    <w:abstractNumId w:val="2"/>
  </w:num>
  <w:num w:numId="18">
    <w:abstractNumId w:val="18"/>
  </w:num>
  <w:num w:numId="19">
    <w:abstractNumId w:val="32"/>
  </w:num>
  <w:num w:numId="20">
    <w:abstractNumId w:val="33"/>
  </w:num>
  <w:num w:numId="21">
    <w:abstractNumId w:val="34"/>
  </w:num>
  <w:num w:numId="22">
    <w:abstractNumId w:val="21"/>
  </w:num>
  <w:num w:numId="23">
    <w:abstractNumId w:val="38"/>
  </w:num>
  <w:num w:numId="24">
    <w:abstractNumId w:val="25"/>
  </w:num>
  <w:num w:numId="25">
    <w:abstractNumId w:val="30"/>
  </w:num>
  <w:num w:numId="26">
    <w:abstractNumId w:val="17"/>
  </w:num>
  <w:num w:numId="27">
    <w:abstractNumId w:val="4"/>
  </w:num>
  <w:num w:numId="28">
    <w:abstractNumId w:val="23"/>
  </w:num>
  <w:num w:numId="29">
    <w:abstractNumId w:val="3"/>
  </w:num>
  <w:num w:numId="30">
    <w:abstractNumId w:val="10"/>
  </w:num>
  <w:num w:numId="31">
    <w:abstractNumId w:val="11"/>
  </w:num>
  <w:num w:numId="32">
    <w:abstractNumId w:val="28"/>
  </w:num>
  <w:num w:numId="33">
    <w:abstractNumId w:val="0"/>
  </w:num>
  <w:num w:numId="34">
    <w:abstractNumId w:val="15"/>
  </w:num>
  <w:num w:numId="35">
    <w:abstractNumId w:val="31"/>
  </w:num>
  <w:num w:numId="36">
    <w:abstractNumId w:val="35"/>
  </w:num>
  <w:num w:numId="37">
    <w:abstractNumId w:val="7"/>
  </w:num>
  <w:num w:numId="38">
    <w:abstractNumId w:val="19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F3"/>
    <w:rsid w:val="0000180D"/>
    <w:rsid w:val="00036CCC"/>
    <w:rsid w:val="00047831"/>
    <w:rsid w:val="00073499"/>
    <w:rsid w:val="000A652E"/>
    <w:rsid w:val="000F389B"/>
    <w:rsid w:val="0010411C"/>
    <w:rsid w:val="00144E76"/>
    <w:rsid w:val="00194F03"/>
    <w:rsid w:val="001D0715"/>
    <w:rsid w:val="001E3981"/>
    <w:rsid w:val="002224FA"/>
    <w:rsid w:val="00233B93"/>
    <w:rsid w:val="002706FF"/>
    <w:rsid w:val="002926EA"/>
    <w:rsid w:val="002F3902"/>
    <w:rsid w:val="003178CD"/>
    <w:rsid w:val="003C5351"/>
    <w:rsid w:val="003D1126"/>
    <w:rsid w:val="003E21CC"/>
    <w:rsid w:val="003F7D27"/>
    <w:rsid w:val="004119E3"/>
    <w:rsid w:val="00417155"/>
    <w:rsid w:val="004D3F68"/>
    <w:rsid w:val="004F2833"/>
    <w:rsid w:val="004F652D"/>
    <w:rsid w:val="00516957"/>
    <w:rsid w:val="00583366"/>
    <w:rsid w:val="00604227"/>
    <w:rsid w:val="0062100F"/>
    <w:rsid w:val="006338B2"/>
    <w:rsid w:val="00634CE2"/>
    <w:rsid w:val="006528DD"/>
    <w:rsid w:val="006638C4"/>
    <w:rsid w:val="00685400"/>
    <w:rsid w:val="006A7DBC"/>
    <w:rsid w:val="006B4AA5"/>
    <w:rsid w:val="006C07DF"/>
    <w:rsid w:val="006C4DF3"/>
    <w:rsid w:val="00723690"/>
    <w:rsid w:val="00761EC4"/>
    <w:rsid w:val="00795374"/>
    <w:rsid w:val="007B7E47"/>
    <w:rsid w:val="007C00F5"/>
    <w:rsid w:val="0085133C"/>
    <w:rsid w:val="0089734E"/>
    <w:rsid w:val="008B0F82"/>
    <w:rsid w:val="008C188F"/>
    <w:rsid w:val="008D308D"/>
    <w:rsid w:val="008D75CB"/>
    <w:rsid w:val="008E2848"/>
    <w:rsid w:val="00982D7E"/>
    <w:rsid w:val="009E4852"/>
    <w:rsid w:val="009F3DAC"/>
    <w:rsid w:val="00A126EA"/>
    <w:rsid w:val="00A53073"/>
    <w:rsid w:val="00A8240C"/>
    <w:rsid w:val="00AD6F9F"/>
    <w:rsid w:val="00AF2C54"/>
    <w:rsid w:val="00B03F33"/>
    <w:rsid w:val="00B3736D"/>
    <w:rsid w:val="00B80FE9"/>
    <w:rsid w:val="00B9515B"/>
    <w:rsid w:val="00BE1138"/>
    <w:rsid w:val="00C03694"/>
    <w:rsid w:val="00C249A0"/>
    <w:rsid w:val="00C24DF5"/>
    <w:rsid w:val="00C923D1"/>
    <w:rsid w:val="00D826FE"/>
    <w:rsid w:val="00DD3F31"/>
    <w:rsid w:val="00E46892"/>
    <w:rsid w:val="00E501DE"/>
    <w:rsid w:val="00E82FCA"/>
    <w:rsid w:val="00EA776F"/>
    <w:rsid w:val="00F056EF"/>
    <w:rsid w:val="00F45A82"/>
    <w:rsid w:val="00F933E8"/>
    <w:rsid w:val="00FD54DA"/>
    <w:rsid w:val="00FE22D5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FDDC5"/>
  <w15:docId w15:val="{33FFDC4A-2E02-4ED5-A5FE-EC4562BB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C4D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93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3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locked/>
    <w:rsid w:val="0085133C"/>
  </w:style>
  <w:style w:type="paragraph" w:styleId="BalloonText">
    <w:name w:val="Balloon Text"/>
    <w:basedOn w:val="Normal"/>
    <w:link w:val="BalloonTextChar"/>
    <w:uiPriority w:val="99"/>
    <w:semiHidden/>
    <w:unhideWhenUsed/>
    <w:rsid w:val="00E8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E3"/>
  </w:style>
  <w:style w:type="paragraph" w:styleId="Footer">
    <w:name w:val="footer"/>
    <w:basedOn w:val="Normal"/>
    <w:link w:val="FooterChar"/>
    <w:uiPriority w:val="99"/>
    <w:unhideWhenUsed/>
    <w:rsid w:val="00411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E3"/>
  </w:style>
  <w:style w:type="table" w:styleId="TableGrid">
    <w:name w:val="Table Grid"/>
    <w:basedOn w:val="TableNormal"/>
    <w:uiPriority w:val="59"/>
    <w:rsid w:val="008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Ottawa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camarissab</dc:creator>
  <cp:lastModifiedBy>Gary MacLeod</cp:lastModifiedBy>
  <cp:revision>3</cp:revision>
  <cp:lastPrinted>2019-09-27T18:28:00Z</cp:lastPrinted>
  <dcterms:created xsi:type="dcterms:W3CDTF">2019-09-27T18:37:00Z</dcterms:created>
  <dcterms:modified xsi:type="dcterms:W3CDTF">2019-09-27T19:14:00Z</dcterms:modified>
</cp:coreProperties>
</file>